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3925C" w14:textId="3831B0DE" w:rsidR="000F68EB" w:rsidRDefault="00BB7845" w:rsidP="000F68EB">
      <w:pPr>
        <w:rPr>
          <w:b/>
          <w:bCs/>
        </w:rPr>
      </w:pPr>
      <w:r>
        <w:rPr>
          <w:noProof/>
        </w:rPr>
        <w:drawing>
          <wp:inline distT="0" distB="0" distL="0" distR="0" wp14:anchorId="1914EAD6" wp14:editId="5269997A">
            <wp:extent cx="5715000" cy="1390650"/>
            <wp:effectExtent l="0" t="0" r="0" b="0"/>
            <wp:docPr id="4307449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1390650"/>
                    </a:xfrm>
                    <a:prstGeom prst="rect">
                      <a:avLst/>
                    </a:prstGeom>
                    <a:noFill/>
                    <a:ln>
                      <a:noFill/>
                    </a:ln>
                  </pic:spPr>
                </pic:pic>
              </a:graphicData>
            </a:graphic>
          </wp:inline>
        </w:drawing>
      </w:r>
    </w:p>
    <w:p w14:paraId="0DAA253B" w14:textId="77777777" w:rsidR="00BB7845" w:rsidRDefault="00BB7845" w:rsidP="000F68EB">
      <w:pPr>
        <w:rPr>
          <w:b/>
          <w:bCs/>
        </w:rPr>
      </w:pPr>
    </w:p>
    <w:p w14:paraId="1A6948A9" w14:textId="77777777" w:rsidR="00BB7845" w:rsidRDefault="00BB7845" w:rsidP="000F68EB">
      <w:pPr>
        <w:rPr>
          <w:b/>
          <w:bCs/>
        </w:rPr>
      </w:pPr>
    </w:p>
    <w:p w14:paraId="3D708CFB" w14:textId="77777777" w:rsidR="00BB7845" w:rsidRPr="00BB7845" w:rsidRDefault="00BB7845" w:rsidP="00BB7845">
      <w:pPr>
        <w:rPr>
          <w:b/>
          <w:bCs/>
        </w:rPr>
      </w:pPr>
      <w:r w:rsidRPr="00BB7845">
        <w:rPr>
          <w:b/>
          <w:bCs/>
          <w:u w:val="single"/>
        </w:rPr>
        <w:t>Louisiana Department of Health Informational Bulletin 26-12</w:t>
      </w:r>
      <w:r w:rsidRPr="00BB7845">
        <w:rPr>
          <w:b/>
          <w:bCs/>
          <w:u w:val="single"/>
        </w:rPr>
        <w:br/>
        <w:t>September 1, 2026</w:t>
      </w:r>
    </w:p>
    <w:p w14:paraId="6329ABD1" w14:textId="77777777" w:rsidR="00BB7845" w:rsidRDefault="00BB7845" w:rsidP="00BB7845">
      <w:pPr>
        <w:rPr>
          <w:b/>
          <w:bCs/>
          <w:u w:val="single"/>
        </w:rPr>
      </w:pPr>
    </w:p>
    <w:p w14:paraId="21DD5F50" w14:textId="11BEE37B" w:rsidR="00BB7845" w:rsidRPr="00BB7845" w:rsidRDefault="00BB7845" w:rsidP="00BB7845">
      <w:r w:rsidRPr="00BB7845">
        <w:rPr>
          <w:b/>
          <w:bCs/>
          <w:u w:val="single"/>
        </w:rPr>
        <w:t>Important Information Regarding Healthy Blue Transition</w:t>
      </w:r>
      <w:r w:rsidRPr="00BB7845">
        <w:rPr>
          <w:b/>
          <w:bCs/>
        </w:rPr>
        <w:br/>
      </w:r>
      <w:r w:rsidRPr="00BB7845">
        <w:rPr>
          <w:b/>
          <w:bCs/>
        </w:rPr>
        <w:br/>
      </w:r>
      <w:r w:rsidRPr="00BB7845">
        <w:t>Healthy Blue (HBL) will end its participation as a Louisiana Medicaid managed care organization (MCO) at the conclusion of its Medicaid managed care contract, effective December 31, 2026.</w:t>
      </w:r>
      <w:r w:rsidRPr="00BB7845">
        <w:br/>
      </w:r>
      <w:r w:rsidRPr="00BB7845">
        <w:br/>
        <w:t>The Louisiana Department of Health (LDH) is actively working to ensure continuity of care for Medicaid members and to minimize administrative burden for providers throughout this transition.</w:t>
      </w:r>
      <w:r w:rsidRPr="00BB7845">
        <w:br/>
      </w:r>
      <w:r w:rsidRPr="00BB7845">
        <w:br/>
        <w:t>LDH will update this bulletin with additional guidance as more information becomes available. Providers are encouraged to monitor future Medicaid communications for official updates. Questions can be directed to the Louisiana Medicaid Provider Relations unit at </w:t>
      </w:r>
      <w:hyperlink r:id="rId12" w:history="1">
        <w:r w:rsidRPr="00BB7845">
          <w:rPr>
            <w:rStyle w:val="Hyperlink"/>
          </w:rPr>
          <w:t>ProviderRelations@la.gov</w:t>
        </w:r>
      </w:hyperlink>
      <w:r w:rsidRPr="00BB7845">
        <w:t>.</w:t>
      </w:r>
      <w:r w:rsidRPr="00BB7845">
        <w:rPr>
          <w:b/>
          <w:bCs/>
        </w:rPr>
        <w:br/>
      </w:r>
      <w:r w:rsidRPr="00BB7845">
        <w:rPr>
          <w:b/>
          <w:bCs/>
        </w:rPr>
        <w:br/>
        <w:t>Member Assignment/Special Enrollment Period</w:t>
      </w:r>
      <w:r w:rsidRPr="00BB7845">
        <w:rPr>
          <w:b/>
          <w:bCs/>
        </w:rPr>
        <w:br/>
      </w:r>
      <w:r w:rsidRPr="00BB7845">
        <w:rPr>
          <w:b/>
          <w:bCs/>
        </w:rPr>
        <w:br/>
      </w:r>
      <w:r w:rsidRPr="00BB7845">
        <w:t>HBL will not be available to Medicaid members beginning January 1, 2027. Current HBL members will have a special enrollment period from October 15, 2026, to November 16, 2026, to choose a new MCO with an effective date of January 1, 2027. This special enrollment period is only available to HBL members.</w:t>
      </w:r>
      <w:r w:rsidRPr="00BB7845">
        <w:br/>
      </w:r>
      <w:r w:rsidRPr="00BB7845">
        <w:br/>
        <w:t xml:space="preserve">Members who take no action will be assigned to another MCO with an effective date of January 1, 2027, using an automatic assignment algorithm. Medicaid will make every attempt to keep families together in the same </w:t>
      </w:r>
      <w:proofErr w:type="gramStart"/>
      <w:r w:rsidRPr="00BB7845">
        <w:t>MCO, and</w:t>
      </w:r>
      <w:proofErr w:type="gramEnd"/>
      <w:r w:rsidRPr="00BB7845">
        <w:t xml:space="preserve"> </w:t>
      </w:r>
      <w:proofErr w:type="gramStart"/>
      <w:r w:rsidRPr="00BB7845">
        <w:t>assign</w:t>
      </w:r>
      <w:proofErr w:type="gramEnd"/>
      <w:r w:rsidRPr="00BB7845">
        <w:t xml:space="preserve"> to an MCO that will allow members to see the same providers.</w:t>
      </w:r>
      <w:r w:rsidRPr="00BB7845">
        <w:br/>
      </w:r>
      <w:r w:rsidRPr="00BB7845">
        <w:br/>
        <w:t>During the special enrollment period, members can choose another MCO using the options below:</w:t>
      </w:r>
    </w:p>
    <w:p w14:paraId="449E49A4" w14:textId="77777777" w:rsidR="00BB7845" w:rsidRPr="00BB7845" w:rsidRDefault="00BB7845" w:rsidP="00BB7845">
      <w:pPr>
        <w:numPr>
          <w:ilvl w:val="0"/>
          <w:numId w:val="16"/>
        </w:numPr>
      </w:pPr>
      <w:r w:rsidRPr="00BB7845">
        <w:t>By phone: 1-855-229-6848, Monday through Friday, from 8 a.m. to 5 p.m.</w:t>
      </w:r>
    </w:p>
    <w:p w14:paraId="077C00A8" w14:textId="77777777" w:rsidR="00BB7845" w:rsidRPr="00BB7845" w:rsidRDefault="00BB7845" w:rsidP="00BB7845">
      <w:pPr>
        <w:numPr>
          <w:ilvl w:val="0"/>
          <w:numId w:val="16"/>
        </w:numPr>
      </w:pPr>
      <w:r w:rsidRPr="00BB7845">
        <w:t>Online: </w:t>
      </w:r>
      <w:hyperlink r:id="rId13" w:history="1">
        <w:r w:rsidRPr="00BB7845">
          <w:rPr>
            <w:rStyle w:val="Hyperlink"/>
          </w:rPr>
          <w:t>www.myplan.healthy.la.gov</w:t>
        </w:r>
      </w:hyperlink>
      <w:r w:rsidRPr="00BB7845">
        <w:t>.</w:t>
      </w:r>
    </w:p>
    <w:p w14:paraId="3B31EBF9" w14:textId="77777777" w:rsidR="00BB7845" w:rsidRPr="00BB7845" w:rsidRDefault="00BB7845" w:rsidP="00BB7845">
      <w:pPr>
        <w:numPr>
          <w:ilvl w:val="0"/>
          <w:numId w:val="16"/>
        </w:numPr>
      </w:pPr>
      <w:r w:rsidRPr="00BB7845">
        <w:t>Through the Healthy Louisiana app, available on Google Play or the App Store.</w:t>
      </w:r>
    </w:p>
    <w:p w14:paraId="2675AB2D" w14:textId="77777777" w:rsidR="00BB7845" w:rsidRPr="00BB7845" w:rsidRDefault="00BB7845" w:rsidP="00BB7845">
      <w:r w:rsidRPr="00BB7845">
        <w:t>Members can get more information at </w:t>
      </w:r>
      <w:hyperlink r:id="rId14" w:history="1">
        <w:r w:rsidRPr="00BB7845">
          <w:rPr>
            <w:rStyle w:val="Hyperlink"/>
          </w:rPr>
          <w:t>www.ldh.la.gov/medicaid/medicaid2027</w:t>
        </w:r>
      </w:hyperlink>
      <w:r w:rsidRPr="00BB7845">
        <w:t>.</w:t>
      </w:r>
      <w:r w:rsidRPr="00BB7845">
        <w:br/>
      </w:r>
      <w:r w:rsidRPr="00BB7845">
        <w:br/>
      </w:r>
    </w:p>
    <w:p w14:paraId="6E92E23F" w14:textId="13FE865F" w:rsidR="00BB7845" w:rsidRDefault="00BB7845" w:rsidP="00BB7845">
      <w:pPr>
        <w:rPr>
          <w:b/>
          <w:bCs/>
        </w:rPr>
      </w:pPr>
      <w:r w:rsidRPr="00BB7845">
        <w:lastRenderedPageBreak/>
        <w:t>Members can change MCOs after automatic assignment by going online to </w:t>
      </w:r>
      <w:hyperlink r:id="rId15" w:history="1">
        <w:r w:rsidRPr="00BB7845">
          <w:rPr>
            <w:rStyle w:val="Hyperlink"/>
          </w:rPr>
          <w:t>www.myplan.healthy.la.gov</w:t>
        </w:r>
      </w:hyperlink>
      <w:r w:rsidRPr="00BB7845">
        <w:t> or calling 1-855-229-6848.</w:t>
      </w:r>
      <w:r w:rsidRPr="00BB7845">
        <w:rPr>
          <w:b/>
          <w:bCs/>
        </w:rPr>
        <w:br/>
      </w:r>
      <w:r w:rsidRPr="00BB7845">
        <w:rPr>
          <w:b/>
          <w:bCs/>
        </w:rPr>
        <w:br/>
        <w:t>Providers Contracted with HBL Only</w:t>
      </w:r>
      <w:r w:rsidRPr="00BB7845">
        <w:rPr>
          <w:b/>
          <w:bCs/>
        </w:rPr>
        <w:br/>
      </w:r>
      <w:r w:rsidRPr="00BB7845">
        <w:rPr>
          <w:b/>
          <w:bCs/>
        </w:rPr>
        <w:br/>
      </w:r>
      <w:r w:rsidRPr="00BB7845">
        <w:t>If you wish to continue providing services to Louisiana Medicaid beneficiaries following this transition, please consider contracting with one or more of the remaining four Medicaid MCOs, if you have not already done so.</w:t>
      </w:r>
      <w:r w:rsidRPr="00BB7845">
        <w:br/>
      </w:r>
      <w:r w:rsidRPr="00BB7845">
        <w:br/>
        <w:t>For questions related to contracting, reimbursement, or network participation, please contact the applicable MCO directly. Contact information can be found on our website at the following link: </w:t>
      </w:r>
      <w:hyperlink r:id="rId16" w:history="1">
        <w:r w:rsidRPr="00BB7845">
          <w:rPr>
            <w:rStyle w:val="Hyperlink"/>
          </w:rPr>
          <w:t>www.ldh.la.gov/medicaid/useful-managed-care-info</w:t>
        </w:r>
      </w:hyperlink>
      <w:r w:rsidRPr="00BB7845">
        <w:t>.</w:t>
      </w:r>
      <w:r w:rsidRPr="00BB7845">
        <w:rPr>
          <w:b/>
          <w:bCs/>
        </w:rPr>
        <w:br/>
      </w:r>
      <w:r w:rsidRPr="00BB7845">
        <w:rPr>
          <w:b/>
          <w:bCs/>
        </w:rPr>
        <w:br/>
        <w:t>Medicaid Eligibility Verification System (MEVS)</w:t>
      </w:r>
      <w:r w:rsidRPr="00BB7845">
        <w:rPr>
          <w:b/>
          <w:bCs/>
        </w:rPr>
        <w:br/>
      </w:r>
      <w:r w:rsidRPr="00BB7845">
        <w:rPr>
          <w:b/>
          <w:bCs/>
        </w:rPr>
        <w:br/>
      </w:r>
      <w:r w:rsidRPr="00BB7845">
        <w:t>MEVS will reflect new MCO assignments for current HBL members by Monday, November 23, 2026. Providers will be able to see the new assignment in MEVS when searching for a date of service for January 1, 2027, or later.</w:t>
      </w:r>
      <w:r w:rsidRPr="00BB7845">
        <w:rPr>
          <w:b/>
          <w:bCs/>
        </w:rPr>
        <w:br/>
      </w:r>
      <w:r w:rsidRPr="00BB7845">
        <w:rPr>
          <w:b/>
          <w:bCs/>
        </w:rPr>
        <w:br/>
        <w:t>Timely Filing of Claims</w:t>
      </w:r>
      <w:r w:rsidRPr="00BB7845">
        <w:rPr>
          <w:b/>
          <w:bCs/>
        </w:rPr>
        <w:br/>
      </w:r>
      <w:r w:rsidRPr="00BB7845">
        <w:rPr>
          <w:b/>
          <w:bCs/>
        </w:rPr>
        <w:br/>
      </w:r>
      <w:r w:rsidRPr="00BB7845">
        <w:t>HBL will continue to receive and process new claims through the 365-day timely filing allowance.</w:t>
      </w:r>
      <w:r w:rsidRPr="00BB7845">
        <w:br/>
      </w:r>
      <w:r w:rsidRPr="00BB7845">
        <w:br/>
        <w:t>HBL will maintain claims processing functions through the end of the contract period and throughout the defined run-out. This includes adjudication of clean claims, processing of corrected claims, and timely resolution of outstanding adjustments or recoupment activities. HBL will ensure all claim payments, adjustments, voids, and recoupments are completed in accordance with LDH requirements, state regulations, and applicable federal standards.</w:t>
      </w:r>
      <w:r w:rsidRPr="00BB7845">
        <w:rPr>
          <w:b/>
          <w:bCs/>
        </w:rPr>
        <w:br/>
      </w:r>
      <w:r w:rsidRPr="00BB7845">
        <w:rPr>
          <w:b/>
          <w:bCs/>
        </w:rPr>
        <w:br/>
        <w:t>Prior Authorizations</w:t>
      </w:r>
      <w:r w:rsidRPr="00BB7845">
        <w:rPr>
          <w:b/>
          <w:bCs/>
        </w:rPr>
        <w:br/>
      </w:r>
      <w:r w:rsidRPr="00BB7845">
        <w:rPr>
          <w:b/>
          <w:bCs/>
        </w:rPr>
        <w:br/>
      </w:r>
      <w:r w:rsidRPr="00BB7845">
        <w:t>HBL prior authorizations will be honored for up to 60 days (or through the authorization end date, whichever occurs first) by the receiving MCO. For Pharmacy, prior authorizations (PA) will be honored through the expiration date of HBL’s authorization.</w:t>
      </w:r>
      <w:r w:rsidRPr="00BB7845">
        <w:br/>
      </w:r>
      <w:r w:rsidRPr="00BB7845">
        <w:br/>
        <w:t>The receiving MCO is prohibited from denying prior authorization solely on the basis of the provider being an out-of-network provider.</w:t>
      </w:r>
      <w:r w:rsidRPr="00BB7845">
        <w:br/>
      </w:r>
      <w:r w:rsidRPr="00BB7845">
        <w:br/>
        <w:t>Providers are responsible for reviewing approved prior authorizations and submitting authorization requests for concurrent reviews, continued stays, or new services to the new Louisiana Department of Health Healthy Louisiana Page 2 of 4 Submitted by: Program Operations and Compliance MCO prior to the expiration of the HBL authorization timeframe or within 60 days (whichever occurs first).</w:t>
      </w:r>
      <w:r w:rsidRPr="00BB7845">
        <w:rPr>
          <w:b/>
          <w:bCs/>
        </w:rPr>
        <w:br/>
      </w:r>
      <w:r w:rsidRPr="00BB7845">
        <w:rPr>
          <w:b/>
          <w:bCs/>
        </w:rPr>
        <w:br/>
      </w:r>
    </w:p>
    <w:p w14:paraId="0536791E" w14:textId="655AFC6E" w:rsidR="00BB7845" w:rsidRPr="00BB7845" w:rsidRDefault="00BB7845" w:rsidP="00BB7845">
      <w:r w:rsidRPr="00BB7845">
        <w:rPr>
          <w:b/>
          <w:bCs/>
        </w:rPr>
        <w:t>Hospitalizations</w:t>
      </w:r>
      <w:r w:rsidRPr="00BB7845">
        <w:rPr>
          <w:b/>
          <w:bCs/>
        </w:rPr>
        <w:br/>
      </w:r>
      <w:r w:rsidRPr="00BB7845">
        <w:rPr>
          <w:b/>
          <w:bCs/>
        </w:rPr>
        <w:br/>
      </w:r>
      <w:r w:rsidRPr="00BB7845">
        <w:t>For HBL members hospitalized on December 31, 2026, the remainder of the hospitalization charges shall revert to the receiving MCO, effective at 12:01 a.m. on January 1, 2027.</w:t>
      </w:r>
      <w:r w:rsidRPr="00BB7845">
        <w:br/>
      </w:r>
      <w:r w:rsidRPr="00BB7845">
        <w:br/>
        <w:t>Requirements for split billing inpatient claims for admissions that include both December 31, 2026, and January 1, 2027:</w:t>
      </w:r>
    </w:p>
    <w:p w14:paraId="15D11638" w14:textId="77777777" w:rsidR="00BB7845" w:rsidRPr="00BB7845" w:rsidRDefault="00BB7845" w:rsidP="00BB7845">
      <w:pPr>
        <w:numPr>
          <w:ilvl w:val="0"/>
          <w:numId w:val="17"/>
        </w:numPr>
      </w:pPr>
      <w:r w:rsidRPr="00BB7845">
        <w:t>Value Code 80 must be present and &gt; zero.</w:t>
      </w:r>
    </w:p>
    <w:p w14:paraId="114E1D2A" w14:textId="77777777" w:rsidR="00BB7845" w:rsidRPr="00BB7845" w:rsidRDefault="00BB7845" w:rsidP="00BB7845">
      <w:pPr>
        <w:numPr>
          <w:ilvl w:val="0"/>
          <w:numId w:val="17"/>
        </w:numPr>
      </w:pPr>
      <w:r w:rsidRPr="00BB7845">
        <w:t>When Patient Status = 30 or Discharge Date equals Admit Date:</w:t>
      </w:r>
    </w:p>
    <w:p w14:paraId="7CC19E49" w14:textId="77777777" w:rsidR="00BB7845" w:rsidRPr="00BB7845" w:rsidRDefault="00BB7845" w:rsidP="00BB7845">
      <w:pPr>
        <w:numPr>
          <w:ilvl w:val="1"/>
          <w:numId w:val="17"/>
        </w:numPr>
      </w:pPr>
      <w:r w:rsidRPr="00BB7845">
        <w:t xml:space="preserve">The Statement through Date minus the Statement </w:t>
      </w:r>
      <w:proofErr w:type="gramStart"/>
      <w:r w:rsidRPr="00BB7845">
        <w:t>From</w:t>
      </w:r>
      <w:proofErr w:type="gramEnd"/>
      <w:r w:rsidRPr="00BB7845">
        <w:t xml:space="preserve"> Date + 1 must equal the number of billed days (Value Code 80 + Value Code 81).</w:t>
      </w:r>
    </w:p>
    <w:p w14:paraId="2AE2420B" w14:textId="77777777" w:rsidR="00BB7845" w:rsidRPr="00BB7845" w:rsidRDefault="00BB7845" w:rsidP="00BB7845">
      <w:pPr>
        <w:numPr>
          <w:ilvl w:val="0"/>
          <w:numId w:val="17"/>
        </w:numPr>
      </w:pPr>
      <w:r w:rsidRPr="00BB7845">
        <w:t>When Patient Status does not equal 30 and Discharge Date does not equal Admit Date:</w:t>
      </w:r>
    </w:p>
    <w:p w14:paraId="450C6CA6" w14:textId="77777777" w:rsidR="00BB7845" w:rsidRPr="00BB7845" w:rsidRDefault="00BB7845" w:rsidP="00BB7845">
      <w:pPr>
        <w:numPr>
          <w:ilvl w:val="1"/>
          <w:numId w:val="17"/>
        </w:numPr>
      </w:pPr>
      <w:r w:rsidRPr="00BB7845">
        <w:t>The Statement Thru Date minus the Statement from Date must equal the number of billed days (Value Code 80 + Value Code 81).</w:t>
      </w:r>
    </w:p>
    <w:p w14:paraId="08B0EF2E" w14:textId="77777777" w:rsidR="00BB7845" w:rsidRPr="00BB7845" w:rsidRDefault="00BB7845" w:rsidP="00BB7845">
      <w:r w:rsidRPr="00BB7845">
        <w:t>Reference:</w:t>
      </w:r>
    </w:p>
    <w:p w14:paraId="06D46725" w14:textId="77777777" w:rsidR="00BB7845" w:rsidRPr="00BB7845" w:rsidRDefault="00BB7845" w:rsidP="00BB7845">
      <w:pPr>
        <w:numPr>
          <w:ilvl w:val="0"/>
          <w:numId w:val="18"/>
        </w:numPr>
      </w:pPr>
      <w:r w:rsidRPr="00BB7845">
        <w:t>Value Code 80 = covered days.</w:t>
      </w:r>
    </w:p>
    <w:p w14:paraId="1D85A918" w14:textId="77777777" w:rsidR="00BB7845" w:rsidRPr="00BB7845" w:rsidRDefault="00BB7845" w:rsidP="00BB7845">
      <w:pPr>
        <w:numPr>
          <w:ilvl w:val="0"/>
          <w:numId w:val="18"/>
        </w:numPr>
      </w:pPr>
      <w:r w:rsidRPr="00BB7845">
        <w:t>Value Code 81 = non-covered days.</w:t>
      </w:r>
    </w:p>
    <w:p w14:paraId="2BB4CF78" w14:textId="77777777" w:rsidR="00BB7845" w:rsidRPr="00BB7845" w:rsidRDefault="00BB7845" w:rsidP="00BB7845">
      <w:pPr>
        <w:numPr>
          <w:ilvl w:val="0"/>
          <w:numId w:val="18"/>
        </w:numPr>
        <w:rPr>
          <w:b/>
          <w:bCs/>
        </w:rPr>
      </w:pPr>
      <w:r w:rsidRPr="00BB7845">
        <w:t>Patient Status of 30 = still a patient.</w:t>
      </w:r>
    </w:p>
    <w:p w14:paraId="5287E896" w14:textId="77777777" w:rsidR="00BB7845" w:rsidRPr="00BB7845" w:rsidRDefault="00BB7845" w:rsidP="00BB7845">
      <w:r w:rsidRPr="00BB7845">
        <w:rPr>
          <w:b/>
          <w:bCs/>
        </w:rPr>
        <w:br/>
        <w:t>Appeals and Claims Reconsiderations</w:t>
      </w:r>
      <w:r w:rsidRPr="00BB7845">
        <w:rPr>
          <w:b/>
          <w:bCs/>
        </w:rPr>
        <w:br/>
      </w:r>
      <w:r w:rsidRPr="00BB7845">
        <w:rPr>
          <w:b/>
          <w:bCs/>
        </w:rPr>
        <w:br/>
      </w:r>
      <w:r w:rsidRPr="00BB7845">
        <w:t>Provider disputes related to services provided and medical necessity decisions prior to January 1, 2027, will continue to be handled by HBL in accordance with Louisiana Medicaid and contractual requirements. Normal submission timeframes will apply.</w:t>
      </w:r>
      <w:r w:rsidRPr="00BB7845">
        <w:rPr>
          <w:b/>
          <w:bCs/>
        </w:rPr>
        <w:br/>
      </w:r>
      <w:r w:rsidRPr="00BB7845">
        <w:rPr>
          <w:b/>
          <w:bCs/>
        </w:rPr>
        <w:br/>
        <w:t>Non-Emergency Medical Transportation (NEMT)</w:t>
      </w:r>
      <w:r w:rsidRPr="00BB7845">
        <w:rPr>
          <w:b/>
          <w:bCs/>
        </w:rPr>
        <w:br/>
      </w:r>
      <w:r w:rsidRPr="00BB7845">
        <w:rPr>
          <w:b/>
          <w:bCs/>
        </w:rPr>
        <w:br/>
      </w:r>
      <w:r w:rsidRPr="00BB7845">
        <w:t xml:space="preserve">Since all Medicaid MCOs utilize the broker </w:t>
      </w:r>
      <w:proofErr w:type="spellStart"/>
      <w:r w:rsidRPr="00BB7845">
        <w:t>MediTrans</w:t>
      </w:r>
      <w:proofErr w:type="spellEnd"/>
      <w:r w:rsidRPr="00BB7845">
        <w:t>, all members with standing transportation orders will be transferred to the receiving MCO and remain in place. No action is required by the member.</w:t>
      </w:r>
      <w:r w:rsidRPr="00BB7845">
        <w:rPr>
          <w:b/>
          <w:bCs/>
        </w:rPr>
        <w:br/>
      </w:r>
      <w:r w:rsidRPr="00BB7845">
        <w:rPr>
          <w:b/>
          <w:bCs/>
        </w:rPr>
        <w:br/>
        <w:t>HBL Provider Advocates</w:t>
      </w:r>
      <w:r w:rsidRPr="00BB7845">
        <w:rPr>
          <w:b/>
          <w:bCs/>
        </w:rPr>
        <w:br/>
      </w:r>
      <w:r w:rsidRPr="00BB7845">
        <w:rPr>
          <w:b/>
          <w:bCs/>
        </w:rPr>
        <w:br/>
      </w:r>
      <w:r w:rsidRPr="00BB7845">
        <w:t>HBL Provider Representatives will remain actively engaged to assist providers during the transition and business run-out period. They will serve as a primary point of contact for any questions or concerns, including:</w:t>
      </w:r>
    </w:p>
    <w:p w14:paraId="42F2B2F6" w14:textId="77777777" w:rsidR="00BB7845" w:rsidRPr="00BB7845" w:rsidRDefault="00BB7845" w:rsidP="00BB7845">
      <w:pPr>
        <w:numPr>
          <w:ilvl w:val="0"/>
          <w:numId w:val="19"/>
        </w:numPr>
      </w:pPr>
      <w:r w:rsidRPr="00BB7845">
        <w:t>Operational Support: Assistance with claims, prior authorizations, and other routine processes.</w:t>
      </w:r>
    </w:p>
    <w:p w14:paraId="73C8537E" w14:textId="77777777" w:rsidR="00BB7845" w:rsidRPr="00BB7845" w:rsidRDefault="00BB7845" w:rsidP="00BB7845">
      <w:pPr>
        <w:numPr>
          <w:ilvl w:val="0"/>
          <w:numId w:val="19"/>
        </w:numPr>
      </w:pPr>
      <w:r w:rsidRPr="00BB7845">
        <w:t>Escalation Guidance: Helping resolve complex issues and redirecting providers to appropriate internal departments.</w:t>
      </w:r>
    </w:p>
    <w:p w14:paraId="6737F797" w14:textId="77777777" w:rsidR="00BB7845" w:rsidRPr="00BB7845" w:rsidRDefault="00BB7845" w:rsidP="00BB7845">
      <w:pPr>
        <w:numPr>
          <w:ilvl w:val="0"/>
          <w:numId w:val="19"/>
        </w:numPr>
      </w:pPr>
      <w:r w:rsidRPr="00BB7845">
        <w:t>State Resources: Providing guidance on accessing information and tools available on the state website.</w:t>
      </w:r>
    </w:p>
    <w:p w14:paraId="69224E92" w14:textId="77777777" w:rsidR="00BB7845" w:rsidRPr="00BB7845" w:rsidRDefault="00BB7845" w:rsidP="00BB7845">
      <w:r w:rsidRPr="00BB7845">
        <w:t>The Provider Call Center will remain operational through June 30, 2028.</w:t>
      </w:r>
      <w:r w:rsidRPr="00BB7845">
        <w:br/>
        <w:t> </w:t>
      </w:r>
    </w:p>
    <w:p w14:paraId="642D1466" w14:textId="77777777" w:rsidR="00BB7845" w:rsidRPr="00BB7845" w:rsidRDefault="00BB7845" w:rsidP="00BB7845">
      <w:pPr>
        <w:rPr>
          <w:b/>
          <w:bCs/>
        </w:rPr>
      </w:pPr>
      <w:r w:rsidRPr="00BB7845">
        <w:t>This communication is posted on the Magellan of Louisiana website.</w:t>
      </w:r>
      <w:r w:rsidRPr="00BB7845">
        <w:br/>
      </w:r>
      <w:hyperlink r:id="rId17" w:history="1">
        <w:r w:rsidRPr="00BB7845">
          <w:rPr>
            <w:rStyle w:val="Hyperlink"/>
          </w:rPr>
          <w:t>2026 | Magellan of Louisiana</w:t>
        </w:r>
      </w:hyperlink>
      <w:r w:rsidRPr="00BB7845">
        <w:br/>
      </w:r>
      <w:r w:rsidRPr="00BB7845">
        <w:br/>
        <w:t>Thank you for all you do in supporting the members of CSoC.</w:t>
      </w:r>
      <w:r w:rsidRPr="00BB7845">
        <w:br/>
      </w:r>
      <w:r w:rsidRPr="00BB7845">
        <w:br/>
        <w:t>Magellan of Louisiana</w:t>
      </w:r>
    </w:p>
    <w:p w14:paraId="159F153B" w14:textId="77777777" w:rsidR="00BB7845" w:rsidRDefault="00BB7845" w:rsidP="000F68EB">
      <w:pPr>
        <w:rPr>
          <w:b/>
          <w:bCs/>
        </w:rPr>
      </w:pPr>
    </w:p>
    <w:p w14:paraId="2F6E6822" w14:textId="25FE06D9" w:rsidR="00C207A9" w:rsidRPr="003D0860" w:rsidRDefault="00C207A9" w:rsidP="00E811BC"/>
    <w:sectPr w:rsidR="00C207A9" w:rsidRPr="003D0860" w:rsidSect="00BB7845">
      <w:footerReference w:type="default" r:id="rId18"/>
      <w:headerReference w:type="first" r:id="rId19"/>
      <w:footerReference w:type="first" r:id="rId20"/>
      <w:pgSz w:w="12240" w:h="15840" w:code="1"/>
      <w:pgMar w:top="1440" w:right="1080" w:bottom="1440" w:left="1080" w:header="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B6A2E" w14:textId="77777777" w:rsidR="005B3435" w:rsidRDefault="005B3435" w:rsidP="00E811BC">
      <w:r>
        <w:separator/>
      </w:r>
    </w:p>
  </w:endnote>
  <w:endnote w:type="continuationSeparator" w:id="0">
    <w:p w14:paraId="091F9BB2" w14:textId="77777777" w:rsidR="005B3435" w:rsidRDefault="005B3435" w:rsidP="00E81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Grande">
    <w:altName w:val="Arial"/>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C781B" w14:textId="77777777" w:rsidR="00BB7845" w:rsidRDefault="00BF26AD" w:rsidP="00E811BC">
    <w:pPr>
      <w:pStyle w:val="Footer"/>
      <w:rPr>
        <w:noProof/>
        <w:sz w:val="21"/>
        <w:szCs w:val="21"/>
        <w:lang w:eastAsia="en-US"/>
      </w:rPr>
    </w:pPr>
    <w:r w:rsidRPr="003E1E76">
      <w:rPr>
        <w:sz w:val="21"/>
        <w:szCs w:val="21"/>
      </w:rPr>
      <w:fldChar w:fldCharType="begin"/>
    </w:r>
    <w:r w:rsidR="00E40E47" w:rsidRPr="003E1E76">
      <w:rPr>
        <w:sz w:val="21"/>
        <w:szCs w:val="21"/>
      </w:rPr>
      <w:instrText xml:space="preserve"> PAGE   \* MERGEFORMAT </w:instrText>
    </w:r>
    <w:r w:rsidRPr="003E1E76">
      <w:rPr>
        <w:sz w:val="21"/>
        <w:szCs w:val="21"/>
      </w:rPr>
      <w:fldChar w:fldCharType="separate"/>
    </w:r>
    <w:r w:rsidR="006E3535" w:rsidRPr="003E1E76">
      <w:rPr>
        <w:noProof/>
        <w:sz w:val="21"/>
        <w:szCs w:val="21"/>
      </w:rPr>
      <w:t>2</w:t>
    </w:r>
    <w:r w:rsidRPr="003E1E76">
      <w:rPr>
        <w:sz w:val="21"/>
        <w:szCs w:val="21"/>
      </w:rPr>
      <w:fldChar w:fldCharType="end"/>
    </w:r>
    <w:r w:rsidR="00E40E47" w:rsidRPr="003E1E76">
      <w:rPr>
        <w:sz w:val="21"/>
        <w:szCs w:val="21"/>
      </w:rPr>
      <w:t>—</w:t>
    </w:r>
    <w:r w:rsidR="00E40E47" w:rsidRPr="003E1E76">
      <w:rPr>
        <w:noProof/>
        <w:sz w:val="21"/>
        <w:szCs w:val="21"/>
        <w:lang w:eastAsia="en-US"/>
      </w:rPr>
      <w:drawing>
        <wp:anchor distT="274320" distB="0" distL="114300" distR="114300" simplePos="0" relativeHeight="251683328" behindDoc="1" locked="1" layoutInCell="1" allowOverlap="1" wp14:anchorId="108E72EB" wp14:editId="43DB518D">
          <wp:simplePos x="0" y="0"/>
          <wp:positionH relativeFrom="column">
            <wp:posOffset>4908550</wp:posOffset>
          </wp:positionH>
          <wp:positionV relativeFrom="bottomMargin">
            <wp:posOffset>179705</wp:posOffset>
          </wp:positionV>
          <wp:extent cx="1358900" cy="365760"/>
          <wp:effectExtent l="0" t="0" r="0" b="2540"/>
          <wp:wrapNone/>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BH Footer.png"/>
                  <pic:cNvPicPr/>
                </pic:nvPicPr>
                <pic:blipFill>
                  <a:blip r:embed="rId1"/>
                  <a:stretch>
                    <a:fillRect/>
                  </a:stretch>
                </pic:blipFill>
                <pic:spPr>
                  <a:xfrm>
                    <a:off x="0" y="0"/>
                    <a:ext cx="1358900" cy="365760"/>
                  </a:xfrm>
                  <a:prstGeom prst="rect">
                    <a:avLst/>
                  </a:prstGeom>
                  <a:extLst>
                    <a:ext uri="{FAA26D3D-D897-4be2-8F04-BA451C77F1D7}">
                      <ma14:placeholderFlag xmlns:ve="http://schemas.openxmlformats.org/markup-compatibility/2006"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BB7845">
      <w:rPr>
        <w:noProof/>
        <w:sz w:val="21"/>
        <w:szCs w:val="21"/>
        <w:lang w:eastAsia="en-US"/>
      </w:rPr>
      <w:t>LDH Information Bulletin</w:t>
    </w:r>
  </w:p>
  <w:p w14:paraId="0FCDB169" w14:textId="6FA72B71" w:rsidR="009739D1" w:rsidRPr="003E1E76" w:rsidRDefault="00BB7845" w:rsidP="00E811BC">
    <w:pPr>
      <w:pStyle w:val="Footer"/>
      <w:rPr>
        <w:sz w:val="21"/>
        <w:szCs w:val="21"/>
      </w:rPr>
    </w:pPr>
    <w:r>
      <w:rPr>
        <w:noProof/>
        <w:sz w:val="21"/>
        <w:szCs w:val="21"/>
        <w:lang w:eastAsia="en-US"/>
      </w:rPr>
      <w:t xml:space="preserve">      September 3, 2026</w:t>
    </w:r>
    <w:r w:rsidR="00E40E47" w:rsidRPr="003E1E76">
      <w:rPr>
        <w:sz w:val="21"/>
        <w:szCs w:val="2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50A69" w14:textId="04123DC2" w:rsidR="004D0BF5" w:rsidRDefault="00BB7845" w:rsidP="00E811BC">
    <w:pPr>
      <w:pStyle w:val="Footer"/>
      <w:rPr>
        <w:sz w:val="21"/>
        <w:szCs w:val="21"/>
      </w:rPr>
    </w:pPr>
    <w:r>
      <w:rPr>
        <w:sz w:val="21"/>
        <w:szCs w:val="21"/>
      </w:rPr>
      <w:t>LDH Informational Bulletin</w:t>
    </w:r>
  </w:p>
  <w:p w14:paraId="10A03821" w14:textId="54F0F10B" w:rsidR="00BB7845" w:rsidRPr="003E1E76" w:rsidRDefault="00BB7845" w:rsidP="00E811BC">
    <w:pPr>
      <w:pStyle w:val="Footer"/>
      <w:rPr>
        <w:sz w:val="21"/>
        <w:szCs w:val="21"/>
      </w:rPr>
    </w:pPr>
    <w:r>
      <w:rPr>
        <w:sz w:val="21"/>
        <w:szCs w:val="21"/>
      </w:rPr>
      <w:t>9-3-2026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5DAEC" w14:textId="77777777" w:rsidR="005B3435" w:rsidRDefault="005B3435" w:rsidP="00E811BC">
      <w:r>
        <w:separator/>
      </w:r>
    </w:p>
  </w:footnote>
  <w:footnote w:type="continuationSeparator" w:id="0">
    <w:p w14:paraId="6FF72131" w14:textId="77777777" w:rsidR="005B3435" w:rsidRDefault="005B3435" w:rsidP="00E811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D2C86" w14:textId="77777777" w:rsidR="00472B9D" w:rsidRPr="00472B9D" w:rsidRDefault="00472B9D" w:rsidP="00E811BC">
    <w:pPr>
      <w:pStyle w:val="Header"/>
    </w:pPr>
    <w:r>
      <w:rPr>
        <w:noProof/>
        <w:lang w:eastAsia="en-US"/>
      </w:rPr>
      <w:drawing>
        <wp:anchor distT="0" distB="0" distL="0" distR="0" simplePos="0" relativeHeight="251665920" behindDoc="1" locked="0" layoutInCell="1" allowOverlap="1" wp14:anchorId="4FD46032" wp14:editId="217B2D11">
          <wp:simplePos x="0" y="0"/>
          <wp:positionH relativeFrom="page">
            <wp:align>right</wp:align>
          </wp:positionH>
          <wp:positionV relativeFrom="page">
            <wp:posOffset>0</wp:posOffset>
          </wp:positionV>
          <wp:extent cx="4233545" cy="1753870"/>
          <wp:effectExtent l="0" t="0" r="0" b="0"/>
          <wp:wrapTight wrapText="bothSides">
            <wp:wrapPolygon edited="1">
              <wp:start x="-18018" y="194"/>
              <wp:lineTo x="-17978" y="13069"/>
              <wp:lineTo x="21593" y="13263"/>
              <wp:lineTo x="21513" y="0"/>
              <wp:lineTo x="-18018" y="194"/>
            </wp:wrapPolygon>
          </wp:wrapTight>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gellan_header_portrait.png"/>
                  <pic:cNvPicPr/>
                </pic:nvPicPr>
                <pic:blipFill>
                  <a:blip r:embed="rId1"/>
                  <a:stretch>
                    <a:fillRect/>
                  </a:stretch>
                </pic:blipFill>
                <pic:spPr>
                  <a:xfrm>
                    <a:off x="0" y="0"/>
                    <a:ext cx="4233670" cy="175449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87A5B"/>
    <w:multiLevelType w:val="multilevel"/>
    <w:tmpl w:val="DE341912"/>
    <w:lvl w:ilvl="0">
      <w:start w:val="1"/>
      <w:numFmt w:val="bullet"/>
      <w:lvlText w:val=""/>
      <w:lvlJc w:val="left"/>
      <w:pPr>
        <w:ind w:left="720" w:hanging="360"/>
      </w:pPr>
      <w:rPr>
        <w:rFonts w:ascii="Symbol" w:hAnsi="Symbol" w:hint="default"/>
        <w:color w:val="0088CE" w:themeColor="text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201631C"/>
    <w:multiLevelType w:val="multilevel"/>
    <w:tmpl w:val="F4F86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CA2F1D"/>
    <w:multiLevelType w:val="hybridMultilevel"/>
    <w:tmpl w:val="98EAB418"/>
    <w:lvl w:ilvl="0" w:tplc="C7629420">
      <w:start w:val="1"/>
      <w:numFmt w:val="bullet"/>
      <w:lvlText w:val=""/>
      <w:lvlJc w:val="left"/>
      <w:pPr>
        <w:ind w:left="720" w:hanging="360"/>
      </w:pPr>
      <w:rPr>
        <w:rFonts w:ascii="Symbol" w:hAnsi="Symbol" w:hint="default"/>
        <w:color w:val="BFD22B" w:themeColor="accent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363CA2"/>
    <w:multiLevelType w:val="multilevel"/>
    <w:tmpl w:val="C556132C"/>
    <w:lvl w:ilvl="0">
      <w:start w:val="1"/>
      <w:numFmt w:val="bullet"/>
      <w:lvlText w:val=""/>
      <w:lvlJc w:val="left"/>
      <w:pPr>
        <w:ind w:left="720" w:hanging="360"/>
      </w:pPr>
      <w:rPr>
        <w:rFonts w:ascii="Symbol" w:hAnsi="Symbol" w:hint="default"/>
        <w:color w:val="BFD22B" w:themeColor="accent5"/>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FBD3B7C"/>
    <w:multiLevelType w:val="multilevel"/>
    <w:tmpl w:val="8B92F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A81C54"/>
    <w:multiLevelType w:val="hybridMultilevel"/>
    <w:tmpl w:val="1376F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610A1F"/>
    <w:multiLevelType w:val="hybridMultilevel"/>
    <w:tmpl w:val="12EE72B0"/>
    <w:lvl w:ilvl="0" w:tplc="B4244038">
      <w:start w:val="1"/>
      <w:numFmt w:val="bullet"/>
      <w:lvlText w:val=""/>
      <w:lvlJc w:val="left"/>
      <w:pPr>
        <w:ind w:left="720" w:hanging="360"/>
      </w:pPr>
      <w:rPr>
        <w:rFonts w:ascii="Symbol" w:hAnsi="Symbol" w:hint="default"/>
        <w:color w:val="5C2F92"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D12B89"/>
    <w:multiLevelType w:val="hybridMultilevel"/>
    <w:tmpl w:val="8E5E2A40"/>
    <w:lvl w:ilvl="0" w:tplc="47A4DD74">
      <w:start w:val="1"/>
      <w:numFmt w:val="bullet"/>
      <w:lvlText w:val=""/>
      <w:lvlJc w:val="left"/>
      <w:pPr>
        <w:ind w:left="720" w:hanging="360"/>
      </w:pPr>
      <w:rPr>
        <w:rFonts w:ascii="Symbol" w:hAnsi="Symbol" w:hint="default"/>
        <w:color w:val="0088CE"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8C6907"/>
    <w:multiLevelType w:val="hybridMultilevel"/>
    <w:tmpl w:val="A498DF62"/>
    <w:lvl w:ilvl="0" w:tplc="773A8C88">
      <w:start w:val="1"/>
      <w:numFmt w:val="bullet"/>
      <w:pStyle w:val="ListParagraph"/>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FB80FE1"/>
    <w:multiLevelType w:val="hybridMultilevel"/>
    <w:tmpl w:val="BCCA12FC"/>
    <w:lvl w:ilvl="0" w:tplc="40742C68">
      <w:start w:val="1"/>
      <w:numFmt w:val="bullet"/>
      <w:lvlText w:val=""/>
      <w:lvlJc w:val="left"/>
      <w:pPr>
        <w:ind w:left="720" w:hanging="360"/>
      </w:pPr>
      <w:rPr>
        <w:rFonts w:ascii="Symbol" w:hAnsi="Symbol" w:hint="default"/>
        <w:color w:val="00B5EF" w:themeColor="background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EF4A0D"/>
    <w:multiLevelType w:val="multilevel"/>
    <w:tmpl w:val="6B680C14"/>
    <w:lvl w:ilvl="0">
      <w:start w:val="1"/>
      <w:numFmt w:val="bullet"/>
      <w:lvlText w:val=""/>
      <w:lvlJc w:val="left"/>
      <w:pPr>
        <w:ind w:left="720" w:hanging="360"/>
      </w:pPr>
      <w:rPr>
        <w:rFonts w:ascii="Symbol" w:hAnsi="Symbol" w:hint="default"/>
        <w:color w:val="5C2F92" w:themeColor="accent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5DB647A7"/>
    <w:multiLevelType w:val="multilevel"/>
    <w:tmpl w:val="11F09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BB6B65"/>
    <w:multiLevelType w:val="multilevel"/>
    <w:tmpl w:val="1376FC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F0475FA"/>
    <w:multiLevelType w:val="hybridMultilevel"/>
    <w:tmpl w:val="DE341912"/>
    <w:lvl w:ilvl="0" w:tplc="0C324DCC">
      <w:start w:val="1"/>
      <w:numFmt w:val="bullet"/>
      <w:lvlText w:val=""/>
      <w:lvlJc w:val="left"/>
      <w:pPr>
        <w:ind w:left="720" w:hanging="360"/>
      </w:pPr>
      <w:rPr>
        <w:rFonts w:ascii="Symbol" w:hAnsi="Symbol" w:hint="default"/>
        <w:color w:val="0088CE"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84346D"/>
    <w:multiLevelType w:val="multilevel"/>
    <w:tmpl w:val="E4F2C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E80E5D"/>
    <w:multiLevelType w:val="multilevel"/>
    <w:tmpl w:val="5EF42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9F50BE"/>
    <w:multiLevelType w:val="multilevel"/>
    <w:tmpl w:val="403E0F1C"/>
    <w:lvl w:ilvl="0">
      <w:start w:val="1"/>
      <w:numFmt w:val="bullet"/>
      <w:lvlText w:val=""/>
      <w:lvlJc w:val="left"/>
      <w:pPr>
        <w:ind w:left="720" w:hanging="360"/>
      </w:pPr>
      <w:rPr>
        <w:rFonts w:ascii="Symbol" w:hAnsi="Symbol" w:hint="default"/>
        <w:color w:val="0088CE" w:themeColor="text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6A88426E"/>
    <w:multiLevelType w:val="hybridMultilevel"/>
    <w:tmpl w:val="73C8536C"/>
    <w:lvl w:ilvl="0" w:tplc="F530F312">
      <w:start w:val="1"/>
      <w:numFmt w:val="bullet"/>
      <w:lvlText w:val=""/>
      <w:lvlJc w:val="left"/>
      <w:pPr>
        <w:ind w:left="720" w:hanging="360"/>
      </w:pPr>
      <w:rPr>
        <w:rFonts w:ascii="Symbol" w:hAnsi="Symbol" w:hint="default"/>
        <w:color w:val="0088CE"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E16221"/>
    <w:multiLevelType w:val="multilevel"/>
    <w:tmpl w:val="BCCA12FC"/>
    <w:lvl w:ilvl="0">
      <w:start w:val="1"/>
      <w:numFmt w:val="bullet"/>
      <w:lvlText w:val=""/>
      <w:lvlJc w:val="left"/>
      <w:pPr>
        <w:ind w:left="720" w:hanging="360"/>
      </w:pPr>
      <w:rPr>
        <w:rFonts w:ascii="Symbol" w:hAnsi="Symbol" w:hint="default"/>
        <w:color w:val="00B5EF" w:themeColor="background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936589774">
    <w:abstractNumId w:val="5"/>
  </w:num>
  <w:num w:numId="2" w16cid:durableId="157961758">
    <w:abstractNumId w:val="12"/>
  </w:num>
  <w:num w:numId="3" w16cid:durableId="1659113031">
    <w:abstractNumId w:val="13"/>
  </w:num>
  <w:num w:numId="4" w16cid:durableId="549731175">
    <w:abstractNumId w:val="0"/>
  </w:num>
  <w:num w:numId="5" w16cid:durableId="1162627448">
    <w:abstractNumId w:val="9"/>
  </w:num>
  <w:num w:numId="6" w16cid:durableId="467549695">
    <w:abstractNumId w:val="18"/>
  </w:num>
  <w:num w:numId="7" w16cid:durableId="229198135">
    <w:abstractNumId w:val="17"/>
  </w:num>
  <w:num w:numId="8" w16cid:durableId="537669592">
    <w:abstractNumId w:val="16"/>
  </w:num>
  <w:num w:numId="9" w16cid:durableId="953370698">
    <w:abstractNumId w:val="6"/>
  </w:num>
  <w:num w:numId="10" w16cid:durableId="1862819898">
    <w:abstractNumId w:val="10"/>
  </w:num>
  <w:num w:numId="11" w16cid:durableId="70276049">
    <w:abstractNumId w:val="2"/>
  </w:num>
  <w:num w:numId="12" w16cid:durableId="1222405918">
    <w:abstractNumId w:val="3"/>
  </w:num>
  <w:num w:numId="13" w16cid:durableId="1038890435">
    <w:abstractNumId w:val="7"/>
  </w:num>
  <w:num w:numId="14" w16cid:durableId="27878853">
    <w:abstractNumId w:val="8"/>
  </w:num>
  <w:num w:numId="15" w16cid:durableId="14504345">
    <w:abstractNumId w:val="1"/>
  </w:num>
  <w:num w:numId="16" w16cid:durableId="419177568">
    <w:abstractNumId w:val="11"/>
  </w:num>
  <w:num w:numId="17" w16cid:durableId="474759207">
    <w:abstractNumId w:val="4"/>
  </w:num>
  <w:num w:numId="18" w16cid:durableId="1314602934">
    <w:abstractNumId w:val="15"/>
  </w:num>
  <w:num w:numId="19" w16cid:durableId="2523214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revisionView w:inkAnnotations="0"/>
  <w:defaultTabStop w:val="720"/>
  <w:drawingGridHorizontalSpacing w:val="110"/>
  <w:drawingGridVerticalSpacing w:val="187"/>
  <w:displayHorizontalDrawingGridEvery w:val="2"/>
  <w:noPunctuationKerning/>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PubVPasteboard_" w:val="1"/>
  </w:docVars>
  <w:rsids>
    <w:rsidRoot w:val="00005D96"/>
    <w:rsid w:val="00005D96"/>
    <w:rsid w:val="00006D91"/>
    <w:rsid w:val="0002553B"/>
    <w:rsid w:val="000A0CDD"/>
    <w:rsid w:val="000C3F8C"/>
    <w:rsid w:val="000F046B"/>
    <w:rsid w:val="000F15BE"/>
    <w:rsid w:val="000F68EB"/>
    <w:rsid w:val="001936DB"/>
    <w:rsid w:val="002837C9"/>
    <w:rsid w:val="002C4E60"/>
    <w:rsid w:val="002C505E"/>
    <w:rsid w:val="00301914"/>
    <w:rsid w:val="00325A89"/>
    <w:rsid w:val="00342C85"/>
    <w:rsid w:val="00385825"/>
    <w:rsid w:val="0039303D"/>
    <w:rsid w:val="003D0860"/>
    <w:rsid w:val="003D28CC"/>
    <w:rsid w:val="003E1E76"/>
    <w:rsid w:val="003E560E"/>
    <w:rsid w:val="00443D88"/>
    <w:rsid w:val="004519AD"/>
    <w:rsid w:val="00472B9D"/>
    <w:rsid w:val="004D0BF5"/>
    <w:rsid w:val="004F0F80"/>
    <w:rsid w:val="0051202E"/>
    <w:rsid w:val="00534C68"/>
    <w:rsid w:val="005519D8"/>
    <w:rsid w:val="005966B3"/>
    <w:rsid w:val="005B3435"/>
    <w:rsid w:val="00616749"/>
    <w:rsid w:val="0063266D"/>
    <w:rsid w:val="006425EE"/>
    <w:rsid w:val="006A5DD2"/>
    <w:rsid w:val="006E0C46"/>
    <w:rsid w:val="006E3535"/>
    <w:rsid w:val="0070132A"/>
    <w:rsid w:val="007120C3"/>
    <w:rsid w:val="0072070C"/>
    <w:rsid w:val="00733AEA"/>
    <w:rsid w:val="007A457E"/>
    <w:rsid w:val="007D4763"/>
    <w:rsid w:val="007E580B"/>
    <w:rsid w:val="0083253C"/>
    <w:rsid w:val="00855D50"/>
    <w:rsid w:val="008623B6"/>
    <w:rsid w:val="0088134C"/>
    <w:rsid w:val="008850DB"/>
    <w:rsid w:val="00915841"/>
    <w:rsid w:val="009739D1"/>
    <w:rsid w:val="00A95165"/>
    <w:rsid w:val="00AE194F"/>
    <w:rsid w:val="00AF79A2"/>
    <w:rsid w:val="00B16456"/>
    <w:rsid w:val="00B62F93"/>
    <w:rsid w:val="00B6403A"/>
    <w:rsid w:val="00B7430D"/>
    <w:rsid w:val="00BB7845"/>
    <w:rsid w:val="00BD127F"/>
    <w:rsid w:val="00BE13EB"/>
    <w:rsid w:val="00BF26AD"/>
    <w:rsid w:val="00BF7A43"/>
    <w:rsid w:val="00C0699C"/>
    <w:rsid w:val="00C166D9"/>
    <w:rsid w:val="00C207A9"/>
    <w:rsid w:val="00C5577A"/>
    <w:rsid w:val="00C9677C"/>
    <w:rsid w:val="00CA3373"/>
    <w:rsid w:val="00CA4627"/>
    <w:rsid w:val="00D003A4"/>
    <w:rsid w:val="00D216DC"/>
    <w:rsid w:val="00D266DC"/>
    <w:rsid w:val="00D61782"/>
    <w:rsid w:val="00DB7A69"/>
    <w:rsid w:val="00E3203C"/>
    <w:rsid w:val="00E4047C"/>
    <w:rsid w:val="00E40E47"/>
    <w:rsid w:val="00E502A1"/>
    <w:rsid w:val="00E80C12"/>
    <w:rsid w:val="00E811BC"/>
    <w:rsid w:val="00F023E6"/>
    <w:rsid w:val="00F078C3"/>
    <w:rsid w:val="00F22668"/>
    <w:rsid w:val="00F864F3"/>
    <w:rsid w:val="00F91E11"/>
    <w:rsid w:val="00F9282E"/>
    <w:rsid w:val="00F95450"/>
    <w:rsid w:val="00FD4FE1"/>
    <w:rsid w:val="00FD6CD4"/>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0182DEA0"/>
  <w15:docId w15:val="{B1A1D207-3C8B-4951-ABB0-5A26CA1A8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1BC"/>
    <w:rPr>
      <w:sz w:val="24"/>
      <w:szCs w:val="24"/>
    </w:rPr>
  </w:style>
  <w:style w:type="paragraph" w:styleId="Heading1">
    <w:name w:val="heading 1"/>
    <w:aliases w:val="Headline"/>
    <w:basedOn w:val="Normal"/>
    <w:next w:val="Normal"/>
    <w:link w:val="Heading1Char"/>
    <w:uiPriority w:val="1"/>
    <w:qFormat/>
    <w:rsid w:val="009739D1"/>
    <w:pPr>
      <w:keepNext/>
      <w:keepLines/>
      <w:spacing w:after="480"/>
      <w:outlineLvl w:val="0"/>
    </w:pPr>
    <w:rPr>
      <w:rFonts w:asciiTheme="majorHAnsi" w:eastAsiaTheme="majorEastAsia" w:hAnsiTheme="majorHAnsi" w:cstheme="majorBidi"/>
      <w:bCs/>
      <w:noProof/>
      <w:color w:val="0088CE" w:themeColor="text2"/>
      <w:sz w:val="56"/>
      <w:szCs w:val="56"/>
      <w:lang w:eastAsia="en-US"/>
    </w:rPr>
  </w:style>
  <w:style w:type="paragraph" w:styleId="Heading2">
    <w:name w:val="heading 2"/>
    <w:basedOn w:val="Normal"/>
    <w:next w:val="Normal"/>
    <w:link w:val="Heading2Char"/>
    <w:uiPriority w:val="9"/>
    <w:unhideWhenUsed/>
    <w:rsid w:val="000F15BE"/>
    <w:pPr>
      <w:keepNext/>
      <w:keepLines/>
      <w:spacing w:before="200"/>
      <w:outlineLvl w:val="1"/>
    </w:pPr>
    <w:rPr>
      <w:rFonts w:asciiTheme="majorHAnsi" w:eastAsiaTheme="majorEastAsia" w:hAnsiTheme="majorHAnsi" w:cstheme="majorBidi"/>
      <w:b/>
      <w:bCs/>
      <w:color w:val="004A7C" w:themeColor="accent1"/>
      <w:sz w:val="26"/>
      <w:szCs w:val="26"/>
    </w:rPr>
  </w:style>
  <w:style w:type="paragraph" w:styleId="Heading3">
    <w:name w:val="heading 3"/>
    <w:basedOn w:val="Normal"/>
    <w:next w:val="Normal"/>
    <w:link w:val="Heading3Char"/>
    <w:uiPriority w:val="9"/>
    <w:unhideWhenUsed/>
    <w:rsid w:val="000F15BE"/>
    <w:pPr>
      <w:keepNext/>
      <w:keepLines/>
      <w:spacing w:before="200"/>
      <w:outlineLvl w:val="2"/>
    </w:pPr>
    <w:rPr>
      <w:rFonts w:asciiTheme="majorHAnsi" w:eastAsiaTheme="majorEastAsia" w:hAnsiTheme="majorHAnsi" w:cstheme="majorBidi"/>
      <w:b/>
      <w:bCs/>
      <w:color w:val="004A7C" w:themeColor="accent1"/>
    </w:rPr>
  </w:style>
  <w:style w:type="paragraph" w:styleId="Heading4">
    <w:name w:val="heading 4"/>
    <w:basedOn w:val="Normal"/>
    <w:next w:val="Normal"/>
    <w:link w:val="Heading4Char"/>
    <w:uiPriority w:val="9"/>
    <w:unhideWhenUsed/>
    <w:rsid w:val="000F15BE"/>
    <w:pPr>
      <w:keepNext/>
      <w:keepLines/>
      <w:spacing w:before="200"/>
      <w:outlineLvl w:val="3"/>
    </w:pPr>
    <w:rPr>
      <w:rFonts w:asciiTheme="majorHAnsi" w:eastAsiaTheme="majorEastAsia" w:hAnsiTheme="majorHAnsi" w:cstheme="majorBidi"/>
      <w:b/>
      <w:bCs/>
      <w:i/>
      <w:iCs/>
      <w:color w:val="004A7C"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207A9"/>
    <w:rPr>
      <w:rFonts w:ascii="Lucida Grande" w:hAnsi="Lucida Grande"/>
      <w:sz w:val="18"/>
      <w:szCs w:val="18"/>
    </w:rPr>
  </w:style>
  <w:style w:type="character" w:customStyle="1" w:styleId="BalloonTextChar">
    <w:name w:val="Balloon Text Char"/>
    <w:basedOn w:val="DefaultParagraphFont"/>
    <w:link w:val="BalloonText"/>
    <w:uiPriority w:val="99"/>
    <w:semiHidden/>
    <w:rsid w:val="00C207A9"/>
    <w:rPr>
      <w:rFonts w:ascii="Lucida Grande" w:hAnsi="Lucida Grande"/>
      <w:sz w:val="18"/>
      <w:szCs w:val="18"/>
    </w:rPr>
  </w:style>
  <w:style w:type="paragraph" w:styleId="Header">
    <w:name w:val="header"/>
    <w:basedOn w:val="Normal"/>
    <w:link w:val="HeaderChar"/>
    <w:uiPriority w:val="99"/>
    <w:unhideWhenUsed/>
    <w:rsid w:val="00C207A9"/>
    <w:pPr>
      <w:tabs>
        <w:tab w:val="center" w:pos="4320"/>
        <w:tab w:val="right" w:pos="8640"/>
      </w:tabs>
    </w:pPr>
  </w:style>
  <w:style w:type="character" w:customStyle="1" w:styleId="HeaderChar">
    <w:name w:val="Header Char"/>
    <w:basedOn w:val="DefaultParagraphFont"/>
    <w:link w:val="Header"/>
    <w:uiPriority w:val="99"/>
    <w:rsid w:val="00C207A9"/>
    <w:rPr>
      <w:sz w:val="24"/>
      <w:szCs w:val="24"/>
    </w:rPr>
  </w:style>
  <w:style w:type="paragraph" w:styleId="Footer">
    <w:name w:val="footer"/>
    <w:basedOn w:val="Normal"/>
    <w:link w:val="FooterChar"/>
    <w:uiPriority w:val="99"/>
    <w:unhideWhenUsed/>
    <w:rsid w:val="00C207A9"/>
    <w:pPr>
      <w:tabs>
        <w:tab w:val="center" w:pos="4320"/>
        <w:tab w:val="right" w:pos="8640"/>
      </w:tabs>
    </w:pPr>
  </w:style>
  <w:style w:type="character" w:customStyle="1" w:styleId="FooterChar">
    <w:name w:val="Footer Char"/>
    <w:basedOn w:val="DefaultParagraphFont"/>
    <w:link w:val="Footer"/>
    <w:uiPriority w:val="99"/>
    <w:rsid w:val="00C207A9"/>
    <w:rPr>
      <w:sz w:val="24"/>
      <w:szCs w:val="24"/>
    </w:rPr>
  </w:style>
  <w:style w:type="character" w:customStyle="1" w:styleId="Heading1Char">
    <w:name w:val="Heading 1 Char"/>
    <w:aliases w:val="Headline Char"/>
    <w:basedOn w:val="DefaultParagraphFont"/>
    <w:link w:val="Heading1"/>
    <w:uiPriority w:val="1"/>
    <w:rsid w:val="009739D1"/>
    <w:rPr>
      <w:rFonts w:asciiTheme="majorHAnsi" w:eastAsiaTheme="majorEastAsia" w:hAnsiTheme="majorHAnsi" w:cstheme="majorBidi"/>
      <w:bCs/>
      <w:noProof/>
      <w:color w:val="0088CE" w:themeColor="text2"/>
      <w:sz w:val="56"/>
      <w:szCs w:val="56"/>
      <w:lang w:eastAsia="en-US"/>
    </w:rPr>
  </w:style>
  <w:style w:type="paragraph" w:styleId="Title">
    <w:name w:val="Title"/>
    <w:basedOn w:val="Normal"/>
    <w:next w:val="Normal"/>
    <w:link w:val="TitleChar"/>
    <w:uiPriority w:val="10"/>
    <w:rsid w:val="000F15BE"/>
    <w:pPr>
      <w:pBdr>
        <w:bottom w:val="single" w:sz="8" w:space="4" w:color="004A7C" w:themeColor="accent1"/>
      </w:pBdr>
      <w:spacing w:after="300"/>
      <w:contextualSpacing/>
    </w:pPr>
    <w:rPr>
      <w:rFonts w:asciiTheme="majorHAnsi" w:eastAsiaTheme="majorEastAsia" w:hAnsiTheme="majorHAnsi" w:cstheme="majorBidi"/>
      <w:color w:val="00659A" w:themeColor="text2" w:themeShade="BF"/>
      <w:spacing w:val="5"/>
      <w:kern w:val="28"/>
      <w:sz w:val="52"/>
      <w:szCs w:val="52"/>
    </w:rPr>
  </w:style>
  <w:style w:type="character" w:customStyle="1" w:styleId="TitleChar">
    <w:name w:val="Title Char"/>
    <w:basedOn w:val="DefaultParagraphFont"/>
    <w:link w:val="Title"/>
    <w:uiPriority w:val="10"/>
    <w:rsid w:val="000F15BE"/>
    <w:rPr>
      <w:rFonts w:asciiTheme="majorHAnsi" w:eastAsiaTheme="majorEastAsia" w:hAnsiTheme="majorHAnsi" w:cstheme="majorBidi"/>
      <w:color w:val="00659A" w:themeColor="text2" w:themeShade="BF"/>
      <w:spacing w:val="5"/>
      <w:kern w:val="28"/>
      <w:sz w:val="52"/>
      <w:szCs w:val="52"/>
    </w:rPr>
  </w:style>
  <w:style w:type="character" w:customStyle="1" w:styleId="Heading2Char">
    <w:name w:val="Heading 2 Char"/>
    <w:basedOn w:val="DefaultParagraphFont"/>
    <w:link w:val="Heading2"/>
    <w:uiPriority w:val="9"/>
    <w:rsid w:val="000F15BE"/>
    <w:rPr>
      <w:rFonts w:asciiTheme="majorHAnsi" w:eastAsiaTheme="majorEastAsia" w:hAnsiTheme="majorHAnsi" w:cstheme="majorBidi"/>
      <w:b/>
      <w:bCs/>
      <w:color w:val="004A7C" w:themeColor="accent1"/>
      <w:sz w:val="26"/>
      <w:szCs w:val="26"/>
    </w:rPr>
  </w:style>
  <w:style w:type="character" w:customStyle="1" w:styleId="Heading3Char">
    <w:name w:val="Heading 3 Char"/>
    <w:basedOn w:val="DefaultParagraphFont"/>
    <w:link w:val="Heading3"/>
    <w:uiPriority w:val="9"/>
    <w:rsid w:val="000F15BE"/>
    <w:rPr>
      <w:rFonts w:asciiTheme="majorHAnsi" w:eastAsiaTheme="majorEastAsia" w:hAnsiTheme="majorHAnsi" w:cstheme="majorBidi"/>
      <w:b/>
      <w:bCs/>
      <w:color w:val="004A7C" w:themeColor="accent1"/>
      <w:sz w:val="24"/>
      <w:szCs w:val="24"/>
    </w:rPr>
  </w:style>
  <w:style w:type="character" w:customStyle="1" w:styleId="Heading4Char">
    <w:name w:val="Heading 4 Char"/>
    <w:basedOn w:val="DefaultParagraphFont"/>
    <w:link w:val="Heading4"/>
    <w:uiPriority w:val="9"/>
    <w:rsid w:val="000F15BE"/>
    <w:rPr>
      <w:rFonts w:asciiTheme="majorHAnsi" w:eastAsiaTheme="majorEastAsia" w:hAnsiTheme="majorHAnsi" w:cstheme="majorBidi"/>
      <w:b/>
      <w:bCs/>
      <w:i/>
      <w:iCs/>
      <w:color w:val="004A7C" w:themeColor="accent1"/>
      <w:sz w:val="24"/>
      <w:szCs w:val="24"/>
    </w:rPr>
  </w:style>
  <w:style w:type="paragraph" w:styleId="Subtitle">
    <w:name w:val="Subtitle"/>
    <w:aliases w:val="Subhead"/>
    <w:basedOn w:val="Normal"/>
    <w:next w:val="Normal"/>
    <w:link w:val="SubtitleChar"/>
    <w:uiPriority w:val="2"/>
    <w:qFormat/>
    <w:rsid w:val="009739D1"/>
    <w:pPr>
      <w:numPr>
        <w:ilvl w:val="1"/>
      </w:numPr>
      <w:tabs>
        <w:tab w:val="left" w:pos="8146"/>
      </w:tabs>
    </w:pPr>
    <w:rPr>
      <w:rFonts w:asciiTheme="majorHAnsi" w:eastAsiaTheme="majorEastAsia" w:hAnsiTheme="majorHAnsi" w:cstheme="majorBidi"/>
      <w:b/>
      <w:color w:val="0088CE" w:themeColor="text2"/>
      <w:sz w:val="28"/>
      <w:szCs w:val="28"/>
    </w:rPr>
  </w:style>
  <w:style w:type="character" w:customStyle="1" w:styleId="SubtitleChar">
    <w:name w:val="Subtitle Char"/>
    <w:aliases w:val="Subhead Char"/>
    <w:basedOn w:val="DefaultParagraphFont"/>
    <w:link w:val="Subtitle"/>
    <w:uiPriority w:val="2"/>
    <w:rsid w:val="009739D1"/>
    <w:rPr>
      <w:rFonts w:asciiTheme="majorHAnsi" w:eastAsiaTheme="majorEastAsia" w:hAnsiTheme="majorHAnsi" w:cstheme="majorBidi"/>
      <w:b/>
      <w:color w:val="0088CE" w:themeColor="text2"/>
      <w:sz w:val="28"/>
      <w:szCs w:val="28"/>
    </w:rPr>
  </w:style>
  <w:style w:type="paragraph" w:styleId="ListParagraph">
    <w:name w:val="List Paragraph"/>
    <w:aliases w:val="Bullets"/>
    <w:basedOn w:val="Normal"/>
    <w:uiPriority w:val="3"/>
    <w:qFormat/>
    <w:rsid w:val="00E40E47"/>
    <w:pPr>
      <w:numPr>
        <w:numId w:val="14"/>
      </w:numPr>
      <w:contextualSpacing/>
    </w:pPr>
  </w:style>
  <w:style w:type="paragraph" w:customStyle="1" w:styleId="Descriptor">
    <w:name w:val="Descriptor"/>
    <w:basedOn w:val="Normal"/>
    <w:uiPriority w:val="5"/>
    <w:rsid w:val="00D003A4"/>
    <w:pPr>
      <w:jc w:val="right"/>
    </w:pPr>
    <w:rPr>
      <w:rFonts w:asciiTheme="majorHAnsi" w:hAnsiTheme="majorHAnsi"/>
      <w:b/>
      <w:bCs/>
      <w:caps/>
      <w:color w:val="FFFFFF" w:themeColor="background1"/>
      <w:sz w:val="20"/>
      <w:szCs w:val="20"/>
    </w:rPr>
  </w:style>
  <w:style w:type="character" w:styleId="Emphasis">
    <w:name w:val="Emphasis"/>
    <w:basedOn w:val="DefaultParagraphFont"/>
    <w:uiPriority w:val="4"/>
    <w:rsid w:val="00D003A4"/>
    <w:rPr>
      <w:i/>
      <w:iCs/>
    </w:rPr>
  </w:style>
  <w:style w:type="character" w:styleId="PageNumber">
    <w:name w:val="page number"/>
    <w:basedOn w:val="DefaultParagraphFont"/>
    <w:uiPriority w:val="99"/>
    <w:semiHidden/>
    <w:unhideWhenUsed/>
    <w:rsid w:val="003D0860"/>
  </w:style>
  <w:style w:type="paragraph" w:customStyle="1" w:styleId="Introtext">
    <w:name w:val="Intro text"/>
    <w:basedOn w:val="Normal"/>
    <w:qFormat/>
    <w:rsid w:val="00F078C3"/>
    <w:pPr>
      <w:spacing w:after="360"/>
    </w:pPr>
    <w:rPr>
      <w:sz w:val="32"/>
      <w:szCs w:val="32"/>
    </w:rPr>
  </w:style>
  <w:style w:type="paragraph" w:styleId="CommentText">
    <w:name w:val="annotation text"/>
    <w:basedOn w:val="Normal"/>
    <w:link w:val="CommentTextChar"/>
    <w:uiPriority w:val="99"/>
    <w:unhideWhenUsed/>
    <w:rsid w:val="00B7430D"/>
    <w:pPr>
      <w:spacing w:after="160"/>
    </w:pPr>
    <w:rPr>
      <w:rFonts w:eastAsiaTheme="minorHAnsi"/>
      <w:kern w:val="2"/>
      <w:sz w:val="20"/>
      <w:szCs w:val="20"/>
      <w:lang w:eastAsia="en-US"/>
      <w14:ligatures w14:val="standardContextual"/>
    </w:rPr>
  </w:style>
  <w:style w:type="character" w:customStyle="1" w:styleId="CommentTextChar">
    <w:name w:val="Comment Text Char"/>
    <w:basedOn w:val="DefaultParagraphFont"/>
    <w:link w:val="CommentText"/>
    <w:uiPriority w:val="99"/>
    <w:rsid w:val="00B7430D"/>
    <w:rPr>
      <w:rFonts w:eastAsiaTheme="minorHAnsi"/>
      <w:kern w:val="2"/>
      <w:lang w:eastAsia="en-US"/>
      <w14:ligatures w14:val="standardContextual"/>
    </w:rPr>
  </w:style>
  <w:style w:type="character" w:styleId="Hyperlink">
    <w:name w:val="Hyperlink"/>
    <w:basedOn w:val="DefaultParagraphFont"/>
    <w:uiPriority w:val="99"/>
    <w:unhideWhenUsed/>
    <w:rsid w:val="00B7430D"/>
    <w:rPr>
      <w:color w:val="0088CE" w:themeColor="hyperlink"/>
      <w:u w:val="single"/>
    </w:rPr>
  </w:style>
  <w:style w:type="character" w:styleId="UnresolvedMention">
    <w:name w:val="Unresolved Mention"/>
    <w:basedOn w:val="DefaultParagraphFont"/>
    <w:uiPriority w:val="99"/>
    <w:semiHidden/>
    <w:unhideWhenUsed/>
    <w:rsid w:val="000F68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8584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yplan.healthy.la.gov/en"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ProviderRelations@la.gov" TargetMode="External"/><Relationship Id="rId17" Type="http://schemas.openxmlformats.org/officeDocument/2006/relationships/hyperlink" Target="https://www.magellanoflouisiana.com/for-providers/provider-communications/2026-1/" TargetMode="External"/><Relationship Id="rId2" Type="http://schemas.openxmlformats.org/officeDocument/2006/relationships/customXml" Target="../customXml/item2.xml"/><Relationship Id="rId16" Type="http://schemas.openxmlformats.org/officeDocument/2006/relationships/hyperlink" Target="https://preview.pardot.com/email/showHtmlMessage/id/www.ldh.la.gov/medicaid/useful-managed-care-inf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myplan.healthy.la.gov/en"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eview.pardot.com/email/showHtmlMessage/id/www.ldh.la.gov/medicaid/medicaid2027"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lburns\Downloads\MHC_Word%20Template_Portrait%20(R)%20(1).dotx" TargetMode="External"/></Relationships>
</file>

<file path=word/theme/theme1.xml><?xml version="1.0" encoding="utf-8"?>
<a:theme xmlns:a="http://schemas.openxmlformats.org/drawingml/2006/main" name="New Magellan">
  <a:themeElements>
    <a:clrScheme name="2018 Magellan Palette">
      <a:dk1>
        <a:srgbClr val="000000"/>
      </a:dk1>
      <a:lt1>
        <a:srgbClr val="FFFFFF"/>
      </a:lt1>
      <a:dk2>
        <a:srgbClr val="0088CE"/>
      </a:dk2>
      <a:lt2>
        <a:srgbClr val="00B5EF"/>
      </a:lt2>
      <a:accent1>
        <a:srgbClr val="004A7C"/>
      </a:accent1>
      <a:accent2>
        <a:srgbClr val="5C2F92"/>
      </a:accent2>
      <a:accent3>
        <a:srgbClr val="BA0A81"/>
      </a:accent3>
      <a:accent4>
        <a:srgbClr val="F7921E"/>
      </a:accent4>
      <a:accent5>
        <a:srgbClr val="BFD22B"/>
      </a:accent5>
      <a:accent6>
        <a:srgbClr val="23AE49"/>
      </a:accent6>
      <a:hlink>
        <a:srgbClr val="0088CE"/>
      </a:hlink>
      <a:folHlink>
        <a:srgbClr val="004A7C"/>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Tag xmlns="4fe55e8d-9c1e-47fa-b1c9-4bf71648748d" xsi:nil="true"/>
    <SharedWithUsers xmlns="674c7e0f-7724-4048-91e4-6fba1f54afc3">
      <UserInfo>
        <DisplayName>Ennis, Angela</DisplayName>
        <AccountId>928</AccountId>
        <AccountType/>
      </UserInfo>
      <UserInfo>
        <DisplayName>Prinster, Maureen A.</DisplayName>
        <AccountId>1682</AccountId>
        <AccountType/>
      </UserInfo>
      <UserInfo>
        <DisplayName>Marshall, Dianna L.</DisplayName>
        <AccountId>1699</AccountId>
        <AccountType/>
      </UserInfo>
      <UserInfo>
        <DisplayName>Ramsey, Amanda</DisplayName>
        <AccountId>39</AccountId>
        <AccountType/>
      </UserInfo>
    </SharedWithUsers>
    <lcf76f155ced4ddcb4097134ff3c332f xmlns="4fe55e8d-9c1e-47fa-b1c9-4bf71648748d">
      <Terms xmlns="http://schemas.microsoft.com/office/infopath/2007/PartnerControls"/>
    </lcf76f155ced4ddcb4097134ff3c332f>
    <TaxCatchAll xmlns="674c7e0f-7724-4048-91e4-6fba1f54afc3" xsi:nil="true"/>
    <_Flow_SignoffStatus xmlns="4fe55e8d-9c1e-47fa-b1c9-4bf71648748d"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4348BB15938C74C914F45469FDC44C1" ma:contentTypeVersion="21" ma:contentTypeDescription="Create a new document." ma:contentTypeScope="" ma:versionID="bc90253164f8657761a358543c95f3e8">
  <xsd:schema xmlns:xsd="http://www.w3.org/2001/XMLSchema" xmlns:xs="http://www.w3.org/2001/XMLSchema" xmlns:p="http://schemas.microsoft.com/office/2006/metadata/properties" xmlns:ns2="4fe55e8d-9c1e-47fa-b1c9-4bf71648748d" xmlns:ns3="674c7e0f-7724-4048-91e4-6fba1f54afc3" targetNamespace="http://schemas.microsoft.com/office/2006/metadata/properties" ma:root="true" ma:fieldsID="ffabcd1b07d0b41964401eb9dab51e90" ns2:_="" ns3:_="">
    <xsd:import namespace="4fe55e8d-9c1e-47fa-b1c9-4bf71648748d"/>
    <xsd:import namespace="674c7e0f-7724-4048-91e4-6fba1f54afc3"/>
    <xsd:element name="properties">
      <xsd:complexType>
        <xsd:sequence>
          <xsd:element name="documentManagement">
            <xsd:complexType>
              <xsd:all>
                <xsd:element ref="ns2:Tag" minOccurs="0"/>
                <xsd:element ref="ns3:SharedWithUsers" minOccurs="0"/>
                <xsd:element ref="ns3:SharedWithDetails" minOccurs="0"/>
                <xsd:element ref="ns2:MediaServiceMetadata" minOccurs="0"/>
                <xsd:element ref="ns2:MediaServiceFastMetadata" minOccurs="0"/>
                <xsd:element ref="ns2:MediaServiceDateTaken" minOccurs="0"/>
                <xsd:element ref="ns2:MediaServiceAutoTags" minOccurs="0"/>
                <xsd:element ref="ns2:MediaServiceOCR" minOccurs="0"/>
                <xsd:element ref="ns2:MediaServiceAutoKeyPoints" minOccurs="0"/>
                <xsd:element ref="ns2:MediaServiceKeyPoints"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_Flow_SignoffStatu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e55e8d-9c1e-47fa-b1c9-4bf71648748d" elementFormDefault="qualified">
    <xsd:import namespace="http://schemas.microsoft.com/office/2006/documentManagement/types"/>
    <xsd:import namespace="http://schemas.microsoft.com/office/infopath/2007/PartnerControls"/>
    <xsd:element name="Tag" ma:index="8" nillable="true" ma:displayName="Tag" ma:format="Dropdown" ma:internalName="Tag">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bf7d192-bdca-4eec-a0b7-a0baa171e6fd" ma:termSetId="09814cd3-568e-fe90-9814-8d621ff8fb84" ma:anchorId="fba54fb3-c3e1-fe81-a776-ca4b69148c4d" ma:open="true" ma:isKeyword="false">
      <xsd:complexType>
        <xsd:sequence>
          <xsd:element ref="pc:Terms" minOccurs="0" maxOccurs="1"/>
        </xsd:sequence>
      </xsd:complexType>
    </xsd:element>
    <xsd:element name="_Flow_SignoffStatus" ma:index="25" nillable="true" ma:displayName="Sign-off status" ma:internalName="Sign_x002d_off_x0020_status">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4c7e0f-7724-4048-91e4-6fba1f54afc3"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28cf35c-e835-4af5-b994-0d07ea3e3270}" ma:internalName="TaxCatchAll" ma:showField="CatchAllData" ma:web="674c7e0f-7724-4048-91e4-6fba1f54af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ACF400-FF3A-432E-B63A-0B9A4C01B4A2}">
  <ds:schemaRefs>
    <ds:schemaRef ds:uri="http://schemas.microsoft.com/sharepoint/v3/contenttype/forms"/>
  </ds:schemaRefs>
</ds:datastoreItem>
</file>

<file path=customXml/itemProps2.xml><?xml version="1.0" encoding="utf-8"?>
<ds:datastoreItem xmlns:ds="http://schemas.openxmlformats.org/officeDocument/2006/customXml" ds:itemID="{5A83136C-313F-4A58-99E4-4DA8254606EC}">
  <ds:schemaRefs>
    <ds:schemaRef ds:uri="http://schemas.microsoft.com/office/2006/metadata/properties"/>
    <ds:schemaRef ds:uri="4fe55e8d-9c1e-47fa-b1c9-4bf71648748d"/>
    <ds:schemaRef ds:uri="674c7e0f-7724-4048-91e4-6fba1f54afc3"/>
    <ds:schemaRef ds:uri="http://schemas.microsoft.com/office/infopath/2007/PartnerControls"/>
  </ds:schemaRefs>
</ds:datastoreItem>
</file>

<file path=customXml/itemProps3.xml><?xml version="1.0" encoding="utf-8"?>
<ds:datastoreItem xmlns:ds="http://schemas.openxmlformats.org/officeDocument/2006/customXml" ds:itemID="{67BA4687-FD22-C442-9BF8-0D843083256C}">
  <ds:schemaRefs>
    <ds:schemaRef ds:uri="http://schemas.openxmlformats.org/officeDocument/2006/bibliography"/>
  </ds:schemaRefs>
</ds:datastoreItem>
</file>

<file path=customXml/itemProps4.xml><?xml version="1.0" encoding="utf-8"?>
<ds:datastoreItem xmlns:ds="http://schemas.openxmlformats.org/officeDocument/2006/customXml" ds:itemID="{012736DF-9A4B-48FE-B58D-7A6378326C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e55e8d-9c1e-47fa-b1c9-4bf71648748d"/>
    <ds:schemaRef ds:uri="674c7e0f-7724-4048-91e4-6fba1f54af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MHC_Word Template_Portrait (R) (1)</Template>
  <TotalTime>8</TotalTime>
  <Pages>4</Pages>
  <Words>1009</Words>
  <Characters>5756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Manager/>
  <Company>Magellan Health</Company>
  <LinksUpToDate>false</LinksUpToDate>
  <CharactersWithSpaces>6752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Burns, Patricia L.</dc:creator>
  <cp:keywords/>
  <dc:description/>
  <cp:lastModifiedBy>Burns, Patricia L.</cp:lastModifiedBy>
  <cp:revision>2</cp:revision>
  <dcterms:created xsi:type="dcterms:W3CDTF">2026-09-03T17:24:00Z</dcterms:created>
  <dcterms:modified xsi:type="dcterms:W3CDTF">2026-09-03T17:24:00Z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0x01010024348BB15938C74C914F45469FDC44C1</vt:lpwstr>
  </property>
  <property fmtid="{D5CDD505-2E9C-101B-9397-08002B2CF9AE}" pid="3" name="Order">
    <vt:r8>81500</vt:r8>
  </property>
  <property fmtid="{D5CDD505-2E9C-101B-9397-08002B2CF9AE}" pid="4" name="MediaServiceImageTags">
    <vt:lpwstr/>
  </property>
  <property fmtid="{D5CDD505-2E9C-101B-9397-08002B2CF9AE}" pid="5" name="MSIP_Label_8be07fcc-3295-428b-88ad-2394f5c2a736_Enabled">
    <vt:lpwstr>true</vt:lpwstr>
  </property>
  <property fmtid="{D5CDD505-2E9C-101B-9397-08002B2CF9AE}" pid="6" name="MSIP_Label_8be07fcc-3295-428b-88ad-2394f5c2a736_SetDate">
    <vt:lpwstr>2025-02-18T16:12:30Z</vt:lpwstr>
  </property>
  <property fmtid="{D5CDD505-2E9C-101B-9397-08002B2CF9AE}" pid="7" name="MSIP_Label_8be07fcc-3295-428b-88ad-2394f5c2a736_Method">
    <vt:lpwstr>Standard</vt:lpwstr>
  </property>
  <property fmtid="{D5CDD505-2E9C-101B-9397-08002B2CF9AE}" pid="8" name="MSIP_Label_8be07fcc-3295-428b-88ad-2394f5c2a736_Name">
    <vt:lpwstr>Business Use</vt:lpwstr>
  </property>
  <property fmtid="{D5CDD505-2E9C-101B-9397-08002B2CF9AE}" pid="9" name="MSIP_Label_8be07fcc-3295-428b-88ad-2394f5c2a736_SiteId">
    <vt:lpwstr>a9df4fcb-7f39-49f4-9d70-1ee81b27a772</vt:lpwstr>
  </property>
  <property fmtid="{D5CDD505-2E9C-101B-9397-08002B2CF9AE}" pid="10" name="MSIP_Label_8be07fcc-3295-428b-88ad-2394f5c2a736_ActionId">
    <vt:lpwstr>22d7bad2-a06c-4621-8a34-2c65fcf6b23b</vt:lpwstr>
  </property>
  <property fmtid="{D5CDD505-2E9C-101B-9397-08002B2CF9AE}" pid="11" name="MSIP_Label_8be07fcc-3295-428b-88ad-2394f5c2a736_ContentBits">
    <vt:lpwstr>0</vt:lpwstr>
  </property>
  <property fmtid="{D5CDD505-2E9C-101B-9397-08002B2CF9AE}" pid="12" name="MSIP_Label_8be07fcc-3295-428b-88ad-2394f5c2a736_Tag">
    <vt:lpwstr>10, 3, 0, 1</vt:lpwstr>
  </property>
  <property fmtid="{D5CDD505-2E9C-101B-9397-08002B2CF9AE}" pid="13" name="GrammarlyDocumentId">
    <vt:lpwstr>b58554f5-debe-4e99-b63f-5fd3efe52633</vt:lpwstr>
  </property>
</Properties>
</file>